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Child Custody Evidence Checklist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Not every case needs every item. Use this list to think through what exists, what you still need to request, and what actually connects to your child's day-to-day life.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Communication with the other parent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Text messages exported with dates and times (not just screenshots)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Emails, printed with full headers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Co-parenting app records or exports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Call logs (your phone's history or carrier records)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Voicemails saved and backed up (recording laws vary by state; check before recording anything)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Parenting time and exchanges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The parenting schedule from your current order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 calendar showing scheduled vs. actual parenting time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An exchange log: late, early, missed, cancelled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Messages giving (or not giving) notice of changes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Your child's needs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School records: attendance, report cards, teacher emails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Medical and dental records, appointments kept or missed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Counseling or therapy information (ask the provider what can be shared)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Activity and practice schedules, who attended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Home and daily life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 written description of the child's routine at your home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Photos of the child's space (keep them private; never post case material online)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Childcare arrangements and contacts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Who helps with transportation and care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Safety concerns (only if they apply)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Police reports and incident numbers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Protective orders and any violations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Medical records of injuries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Dated photos of injuries or damage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Names of people who saw things first-hand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Court and financial papers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Every current order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Everything filed by either side, in date order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Notices of hearing and proof of service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Child support orders, payment history, receipts for shared expenses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People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Witnesses who saw events first-hand, with contact information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Professionals involved: teacher, pediatrician, counselor, guardian ad litem, evaluator</w:t>
      </w:r>
    </w:p>
    <w:tbl>
      <w:tblPr>
        <w:tblW w:w="10512" w:type="dxa"/>
        <w:tblBorders>
          <w:top w:val="single" w:sz="4" w:space="0" w:color="C9CFDB"/>
          <w:left w:val="single" w:sz="4" w:space="0" w:color="C9CFDB"/>
          <w:bottom w:val="single" w:sz="4" w:space="0" w:color="C9CFDB"/>
          <w:right w:val="single" w:sz="4" w:space="0" w:color="C9CFDB"/>
          <w:insideH w:val="single" w:sz="4" w:space="0" w:color="C9CFDB"/>
          <w:insideV w:val="single" w:sz="4" w:space="0" w:color="C9CFDB"/>
        </w:tblBorders>
        <w:tblLayout w:type="fixed"/>
      </w:tblPr>
      <w:tblGrid>
        <w:gridCol w:w="10512"/>
      </w:tblGrid>
      <w:tr>
        <w:trPr>
          <w:trHeight w:val="300"/>
        </w:trPr>
        <w:tc>
          <w:tcPr>
            <w:tcW w:w="10512" w:type="dxa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B2435"/>
                <w:sz w:val="20"/>
                <w:szCs w:val="20"/>
              </w:rPr>
              <w:t xml:space="preserve">Keep it child-focused. Evidence carries the most weight when it shows a pattern that affects your child. Never ask your child to gather evidence, carry messages or take sides.</w:t>
            </w:r>
          </w:p>
        </w:tc>
      </w:tr>
    </w:tbl>
    <w:p>
      <w:pPr>
        <w:spacing w:before="0" w:after="120"/>
      </w:pP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Child Custody Evidence Checklist</dc:title>
  <dc:creator>Custody Commander</dc:creator>
</cp:coreProperties>
</file>