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rFonts w:ascii="Calibri" w:hAnsi="Calibri" w:cs="Calibri"/>
          <w:b/>
          <w:color w:val="101D33"/>
          <w:sz w:val="17"/>
          <w:szCs w:val="17"/>
        </w:rPr>
        <w:t xml:space="preserve">Custody Commander</w:t>
      </w:r>
      <w:r>
        <w:rPr>
          <w:rFonts w:ascii="Calibri" w:hAnsi="Calibri" w:cs="Calibri"/>
          <w:color w:val="67718A"/>
          <w:sz w:val="17"/>
          <w:szCs w:val="17"/>
        </w:rPr>
        <w:t xml:space="preserve">  ·  Free template  ·  custodycommander.com/templates</w:t>
      </w:r>
    </w:p>
    <w:p>
      <w:pPr>
        <w:spacing w:before="0" w:after="120"/>
      </w:pPr>
      <w:r>
        <w:rPr>
          <w:rFonts w:ascii="Calibri" w:hAnsi="Calibri" w:cs="Calibri"/>
          <w:b/>
          <w:color w:val="101D33"/>
          <w:sz w:val="40"/>
          <w:szCs w:val="40"/>
        </w:rPr>
        <w:t xml:space="preserve">Family Court Evidence Index</w:t>
      </w:r>
    </w:p>
    <w:p>
      <w:pPr>
        <w:spacing w:before="0" w:after="200"/>
      </w:pPr>
      <w:r>
        <w:rPr>
          <w:rFonts w:ascii="Calibri" w:hAnsi="Calibri" w:cs="Calibri"/>
          <w:color w:val="44506A"/>
          <w:sz w:val="21"/>
          <w:szCs w:val="21"/>
        </w:rPr>
        <w:t xml:space="preserve">A one-page map of every exhibit you plan to use. Judges, clerks and the other side all work faster when each exhibit has a number, a short description and a date.</w:t>
      </w:r>
    </w:p>
    <w:p>
      <w:pPr>
        <w:spacing w:before="160" w:after="80"/>
        <w:keepNext/>
      </w:pPr>
      <w:r>
        <w:rPr>
          <w:rFonts w:ascii="Calibri" w:hAnsi="Calibri" w:cs="Calibri"/>
          <w:b/>
          <w:color w:val="101D33"/>
          <w:sz w:val="26"/>
          <w:szCs w:val="26"/>
        </w:rPr>
        <w:t xml:space="preserve">How to use it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•  Number exhibits in the order you expect to use them. Many courts use numbers for one side and letters for the other; check your local rules.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•  Describe each exhibit in a way a stranger would understand: what it is, the date range, and how many pages.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•  Keep the originals (the phone, the original files, the paper document). Bring copies.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•  Most courts expect copies for the judge and the other side; check your local rules for how many and when to exchange them.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•  List who can identify each exhibit (usually you) in case its authenticity is questioned.</w:t>
      </w:r>
    </w:p>
    <w:tbl>
      <w:tblPr>
        <w:tblW w:w="10512" w:type="dxa"/>
        <w:tblBorders>
          <w:top w:val="single" w:sz="4" w:space="0" w:color="C9CFDB"/>
          <w:left w:val="single" w:sz="4" w:space="0" w:color="C9CFDB"/>
          <w:bottom w:val="single" w:sz="4" w:space="0" w:color="C9CFDB"/>
          <w:right w:val="single" w:sz="4" w:space="0" w:color="C9CFDB"/>
          <w:insideH w:val="single" w:sz="4" w:space="0" w:color="C9CFDB"/>
          <w:insideV w:val="single" w:sz="4" w:space="0" w:color="C9CFDB"/>
        </w:tblBorders>
        <w:tblLayout w:type="fixed"/>
      </w:tblPr>
      <w:tblGrid>
        <w:gridCol w:w="1314"/>
        <w:gridCol w:w="2628"/>
        <w:gridCol w:w="1314"/>
        <w:gridCol w:w="1314"/>
        <w:gridCol w:w="1314"/>
        <w:gridCol w:w="1314"/>
        <w:gridCol w:w="1314"/>
      </w:tblGrid>
      <w:tr>
        <w:trPr>
          <w:tblHeader/>
        </w:trPr>
        <w:tc>
          <w:tcPr>
            <w:tcW w:w="1314" w:type="dxa"/>
            <w:shd w:val="clear" w:color="auto" w:fill="16294B"/>
            <w:vAlign w:val="top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FFFFFF"/>
                <w:sz w:val="17"/>
                <w:szCs w:val="17"/>
              </w:rPr>
              <w:t xml:space="preserve">Exhibit #</w:t>
            </w:r>
          </w:p>
        </w:tc>
        <w:tc>
          <w:tcPr>
            <w:tcW w:w="2628" w:type="dxa"/>
            <w:shd w:val="clear" w:color="auto" w:fill="16294B"/>
            <w:vAlign w:val="top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FFFFFF"/>
                <w:sz w:val="17"/>
                <w:szCs w:val="17"/>
              </w:rPr>
              <w:t xml:space="preserve">Description</w:t>
            </w:r>
          </w:p>
        </w:tc>
        <w:tc>
          <w:tcPr>
            <w:tcW w:w="1314" w:type="dxa"/>
            <w:shd w:val="clear" w:color="auto" w:fill="16294B"/>
            <w:vAlign w:val="top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FFFFFF"/>
                <w:sz w:val="17"/>
                <w:szCs w:val="17"/>
              </w:rPr>
              <w:t xml:space="preserve">Date(s)</w:t>
            </w:r>
          </w:p>
        </w:tc>
        <w:tc>
          <w:tcPr>
            <w:tcW w:w="1314" w:type="dxa"/>
            <w:shd w:val="clear" w:color="auto" w:fill="16294B"/>
            <w:vAlign w:val="top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FFFFFF"/>
                <w:sz w:val="17"/>
                <w:szCs w:val="17"/>
              </w:rPr>
              <w:t xml:space="preserve">Source</w:t>
            </w:r>
          </w:p>
        </w:tc>
        <w:tc>
          <w:tcPr>
            <w:tcW w:w="1314" w:type="dxa"/>
            <w:shd w:val="clear" w:color="auto" w:fill="16294B"/>
            <w:vAlign w:val="top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FFFFFF"/>
                <w:sz w:val="17"/>
                <w:szCs w:val="17"/>
              </w:rPr>
              <w:t xml:space="preserve">Issue it supports</w:t>
            </w:r>
          </w:p>
        </w:tc>
        <w:tc>
          <w:tcPr>
            <w:tcW w:w="1314" w:type="dxa"/>
            <w:shd w:val="clear" w:color="auto" w:fill="16294B"/>
            <w:vAlign w:val="top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FFFFFF"/>
                <w:sz w:val="17"/>
                <w:szCs w:val="17"/>
              </w:rPr>
              <w:t xml:space="preserve">Who can identify it</w:t>
            </w:r>
          </w:p>
        </w:tc>
        <w:tc>
          <w:tcPr>
            <w:tcW w:w="1314" w:type="dxa"/>
            <w:shd w:val="clear" w:color="auto" w:fill="16294B"/>
            <w:vAlign w:val="top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FFFFFF"/>
                <w:sz w:val="17"/>
                <w:szCs w:val="17"/>
              </w:rPr>
              <w:t xml:space="preserve">Original kept where</w:t>
            </w:r>
          </w:p>
        </w:tc>
      </w:tr>
      <w:tr>
        <w:trPr>
          <w:trHeight w:val="380"/>
        </w:trPr>
        <w:tc>
          <w:tcPr>
            <w:tcW w:w="1314" w:type="dxa"/>
            <w:shd w:val="clear" w:color="auto" w:fill="F6F4EF"/>
            <w:vAlign w:val="top"/>
          </w:tcPr>
          <w:p>
            <w:pPr>
              <w:spacing w:before="0" w:after="0"/>
            </w:pPr>
            <w:r>
              <w:rPr>
                <w:rFonts w:ascii="Calibri" w:hAnsi="Calibri" w:cs="Calibri"/>
                <w:i/>
                <w:color w:val="67718A"/>
                <w:sz w:val="17"/>
                <w:szCs w:val="17"/>
              </w:rPr>
              <w:t xml:space="preserve">1</w:t>
            </w:r>
          </w:p>
        </w:tc>
        <w:tc>
          <w:tcPr>
            <w:tcW w:w="2628" w:type="dxa"/>
            <w:shd w:val="clear" w:color="auto" w:fill="F6F4EF"/>
            <w:vAlign w:val="top"/>
          </w:tcPr>
          <w:p>
            <w:pPr>
              <w:spacing w:before="0" w:after="0"/>
            </w:pPr>
            <w:r>
              <w:rPr>
                <w:rFonts w:ascii="Calibri" w:hAnsi="Calibri" w:cs="Calibri"/>
                <w:i/>
                <w:color w:val="67718A"/>
                <w:sz w:val="17"/>
                <w:szCs w:val="17"/>
              </w:rPr>
              <w:t xml:space="preserve">Text messages between me and [other parent], June 1–30 (12 pages)</w:t>
            </w:r>
          </w:p>
        </w:tc>
        <w:tc>
          <w:tcPr>
            <w:tcW w:w="1314" w:type="dxa"/>
            <w:shd w:val="clear" w:color="auto" w:fill="F6F4EF"/>
            <w:vAlign w:val="top"/>
          </w:tcPr>
          <w:p>
            <w:pPr>
              <w:spacing w:before="0" w:after="0"/>
            </w:pPr>
            <w:r>
              <w:rPr>
                <w:rFonts w:ascii="Calibri" w:hAnsi="Calibri" w:cs="Calibri"/>
                <w:i/>
                <w:color w:val="67718A"/>
                <w:sz w:val="17"/>
                <w:szCs w:val="17"/>
              </w:rPr>
              <w:t xml:space="preserve">06/01–06/30</w:t>
            </w:r>
          </w:p>
        </w:tc>
        <w:tc>
          <w:tcPr>
            <w:tcW w:w="1314" w:type="dxa"/>
            <w:shd w:val="clear" w:color="auto" w:fill="F6F4EF"/>
            <w:vAlign w:val="top"/>
          </w:tcPr>
          <w:p>
            <w:pPr>
              <w:spacing w:before="0" w:after="0"/>
            </w:pPr>
            <w:r>
              <w:rPr>
                <w:rFonts w:ascii="Calibri" w:hAnsi="Calibri" w:cs="Calibri"/>
                <w:i/>
                <w:color w:val="67718A"/>
                <w:sz w:val="17"/>
                <w:szCs w:val="17"/>
              </w:rPr>
              <w:t xml:space="preserve">My phone (export)</w:t>
            </w:r>
          </w:p>
        </w:tc>
        <w:tc>
          <w:tcPr>
            <w:tcW w:w="1314" w:type="dxa"/>
            <w:shd w:val="clear" w:color="auto" w:fill="F6F4EF"/>
            <w:vAlign w:val="top"/>
          </w:tcPr>
          <w:p>
            <w:pPr>
              <w:spacing w:before="0" w:after="0"/>
            </w:pPr>
            <w:r>
              <w:rPr>
                <w:rFonts w:ascii="Calibri" w:hAnsi="Calibri" w:cs="Calibri"/>
                <w:i/>
                <w:color w:val="67718A"/>
                <w:sz w:val="17"/>
                <w:szCs w:val="17"/>
              </w:rPr>
              <w:t xml:space="preserve">Exchanges</w:t>
            </w:r>
          </w:p>
        </w:tc>
        <w:tc>
          <w:tcPr>
            <w:tcW w:w="1314" w:type="dxa"/>
            <w:shd w:val="clear" w:color="auto" w:fill="F6F4EF"/>
            <w:vAlign w:val="top"/>
          </w:tcPr>
          <w:p>
            <w:pPr>
              <w:spacing w:before="0" w:after="0"/>
            </w:pPr>
            <w:r>
              <w:rPr>
                <w:rFonts w:ascii="Calibri" w:hAnsi="Calibri" w:cs="Calibri"/>
                <w:i/>
                <w:color w:val="67718A"/>
                <w:sz w:val="17"/>
                <w:szCs w:val="17"/>
              </w:rPr>
              <w:t xml:space="preserve">Me</w:t>
            </w:r>
          </w:p>
        </w:tc>
        <w:tc>
          <w:tcPr>
            <w:tcW w:w="1314" w:type="dxa"/>
            <w:shd w:val="clear" w:color="auto" w:fill="F6F4EF"/>
            <w:vAlign w:val="top"/>
          </w:tcPr>
          <w:p>
            <w:pPr>
              <w:spacing w:before="0" w:after="0"/>
            </w:pPr>
            <w:r>
              <w:rPr>
                <w:rFonts w:ascii="Calibri" w:hAnsi="Calibri" w:cs="Calibri"/>
                <w:i/>
                <w:color w:val="67718A"/>
                <w:sz w:val="17"/>
                <w:szCs w:val="17"/>
              </w:rPr>
              <w:t xml:space="preserve">Phone + backup drive</w:t>
            </w:r>
          </w:p>
        </w:tc>
      </w:tr>
      <w:tr>
        <w:trPr>
          <w:trHeight w:val="380"/>
        </w:trPr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2628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2628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2628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2628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2628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2628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2628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2628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2628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2628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2628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2628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2628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2628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2628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2628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2628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2628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2628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2628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  <w:tc>
          <w:tcPr>
            <w:tcW w:w="1314" w:type="dxa"/>
            <w:vAlign w:val="top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p>
      <w:pPr>
        <w:spacing w:before="300" w:after="120"/>
      </w:pPr>
      <w:r>
        <w:rPr>
          <w:rFonts w:ascii="Calibri" w:hAnsi="Calibri" w:cs="Calibri"/>
          <w:color w:val="67718A"/>
          <w:sz w:val="15"/>
          <w:szCs w:val="15"/>
        </w:rPr>
        <w:t xml:space="preserve">General template for organizing your own information. It is not legal advice and not a court-approved form. Court rules and required forms vary by state and county, so check your court's local rules and self-help center. Doing this by hand takes hours: Custody Commander organizes evidence, builds your timeline and exports court-ready PDFs — free tier and a 14-day free trial at custodycommander.com.</w:t>
      </w:r>
    </w:p>
    <w:sectPr>
      <w:pgSz w:w="12240" w:h="15840"/>
      <w:pgMar w:top="864" w:right="864" w:bottom="864" w:left="864" w:header="432" w:footer="432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Family Court Evidence Index</dc:title>
  <dc:creator>Custody Commander</dc:creator>
</cp:coreProperties>
</file>